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6CE46BBD" w:rsidR="00297BBB" w:rsidRPr="005D5D5A" w:rsidRDefault="00D27F44"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0364ECEE" w:rsidR="0027480E" w:rsidRPr="005D5D5A" w:rsidRDefault="00752A9E" w:rsidP="0027480E">
      <w:pPr>
        <w:ind w:left="-1440" w:right="-1440"/>
        <w:jc w:val="center"/>
        <w:rPr>
          <w:rFonts w:ascii="Arial" w:hAnsi="Arial" w:cs="Arial"/>
        </w:rPr>
      </w:pPr>
      <w:r>
        <w:rPr>
          <w:rFonts w:ascii="Arial" w:hAnsi="Arial" w:cs="Arial"/>
        </w:rPr>
        <w:t>April 25</w:t>
      </w:r>
      <w:r w:rsidR="00BB508D">
        <w:rPr>
          <w:rFonts w:ascii="Arial" w:hAnsi="Arial" w:cs="Arial"/>
        </w:rPr>
        <w:t>,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FE3D01C"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752A9E">
        <w:rPr>
          <w:rFonts w:ascii="Arial" w:hAnsi="Arial" w:cs="Arial"/>
        </w:rPr>
        <w:t xml:space="preserve">April </w:t>
      </w:r>
      <w:proofErr w:type="gramStart"/>
      <w:r w:rsidR="00752A9E">
        <w:rPr>
          <w:rFonts w:ascii="Arial" w:hAnsi="Arial" w:cs="Arial"/>
        </w:rPr>
        <w:t xml:space="preserve">25 </w:t>
      </w:r>
      <w:r w:rsidR="00BB508D">
        <w:rPr>
          <w:rFonts w:ascii="Arial" w:hAnsi="Arial" w:cs="Arial"/>
        </w:rPr>
        <w:t>,</w:t>
      </w:r>
      <w:proofErr w:type="gramEnd"/>
      <w:r w:rsidR="00BB508D">
        <w:rPr>
          <w:rFonts w:ascii="Arial" w:hAnsi="Arial" w:cs="Arial"/>
        </w:rPr>
        <w:t xml:space="preserve">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3AC32273"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4212B8">
        <w:rPr>
          <w:rFonts w:ascii="Arial" w:hAnsi="Arial" w:cs="Arial"/>
        </w:rPr>
        <w:t>45</w:t>
      </w:r>
      <w:r w:rsidR="008618F1">
        <w:rPr>
          <w:rFonts w:ascii="Arial" w:hAnsi="Arial" w:cs="Arial"/>
        </w:rPr>
        <w:t xml:space="preserve">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3297">
        <w:rPr>
          <w:rFonts w:ascii="Arial" w:hAnsi="Arial" w:cs="Arial"/>
        </w:rPr>
        <w:t>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B60557">
        <w:rPr>
          <w:rFonts w:ascii="Arial" w:hAnsi="Arial" w:cs="Arial"/>
        </w:rPr>
        <w:t xml:space="preserve">Jay Gfeller was absent.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22C5D480"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r w:rsidR="00963C0E">
        <w:rPr>
          <w:rFonts w:ascii="Arial" w:hAnsi="Arial" w:cs="Arial"/>
        </w:rPr>
        <w:t>, Lori Pickens- Treasurer</w:t>
      </w:r>
    </w:p>
    <w:p w14:paraId="08EEBB9C" w14:textId="77777777" w:rsidR="0033358F" w:rsidRPr="000A1A10" w:rsidRDefault="0033358F" w:rsidP="008E6858">
      <w:pPr>
        <w:rPr>
          <w:rFonts w:ascii="Arial" w:hAnsi="Arial" w:cs="Arial"/>
        </w:rPr>
      </w:pPr>
    </w:p>
    <w:p w14:paraId="499FFCA1" w14:textId="478F0304"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Joe </w:t>
      </w:r>
      <w:proofErr w:type="spellStart"/>
      <w:r w:rsidR="00B41B19">
        <w:rPr>
          <w:rFonts w:ascii="Arial" w:hAnsi="Arial" w:cs="Arial"/>
        </w:rPr>
        <w:t>Uhlman</w:t>
      </w:r>
      <w:proofErr w:type="spellEnd"/>
      <w:r w:rsidR="00B41B19">
        <w:rPr>
          <w:rFonts w:ascii="Arial" w:hAnsi="Arial" w:cs="Arial"/>
        </w:rPr>
        <w:t xml:space="preserve">, </w:t>
      </w:r>
      <w:r w:rsidR="00B60557">
        <w:rPr>
          <w:rFonts w:ascii="Arial" w:hAnsi="Arial" w:cs="Arial"/>
        </w:rPr>
        <w:t>Pandea Smith</w:t>
      </w:r>
      <w:r w:rsidR="00963C0E">
        <w:rPr>
          <w:rFonts w:ascii="Arial" w:hAnsi="Arial" w:cs="Arial"/>
        </w:rPr>
        <w:t xml:space="preserve">, Ed </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5459BBBE" w:rsidR="00B43297" w:rsidRDefault="00B41B19" w:rsidP="00154CB9">
      <w:pPr>
        <w:tabs>
          <w:tab w:val="left" w:pos="0"/>
          <w:tab w:val="left" w:pos="2340"/>
        </w:tabs>
        <w:rPr>
          <w:rFonts w:ascii="Arial" w:hAnsi="Arial" w:cs="Arial"/>
        </w:rPr>
      </w:pPr>
      <w:r>
        <w:rPr>
          <w:rFonts w:ascii="Arial" w:hAnsi="Arial" w:cs="Arial"/>
        </w:rPr>
        <w:t xml:space="preserve">The property owner </w:t>
      </w:r>
      <w:r w:rsidR="00C8217A">
        <w:rPr>
          <w:rFonts w:ascii="Arial" w:hAnsi="Arial" w:cs="Arial"/>
        </w:rPr>
        <w:t>of 6</w:t>
      </w:r>
      <w:r w:rsidR="00963C0E">
        <w:rPr>
          <w:rFonts w:ascii="Arial" w:hAnsi="Arial" w:cs="Arial"/>
        </w:rPr>
        <w:t>12</w:t>
      </w:r>
      <w:r w:rsidR="00C8217A">
        <w:rPr>
          <w:rFonts w:ascii="Arial" w:hAnsi="Arial" w:cs="Arial"/>
        </w:rPr>
        <w:t xml:space="preserve"> N Walnut </w:t>
      </w:r>
      <w:r w:rsidR="00963C0E">
        <w:rPr>
          <w:rFonts w:ascii="Arial" w:hAnsi="Arial" w:cs="Arial"/>
        </w:rPr>
        <w:t>will allow Chief Burke to go through house, has 2 weeks to get with him</w:t>
      </w:r>
      <w:r w:rsidR="00C8217A">
        <w:rPr>
          <w:rFonts w:ascii="Arial" w:hAnsi="Arial" w:cs="Arial"/>
        </w:rPr>
        <w:t xml:space="preserve"> </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71D5D0FD"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B60557">
        <w:rPr>
          <w:rFonts w:ascii="Arial" w:hAnsi="Arial" w:cs="Arial"/>
          <w:b/>
          <w:u w:val="single"/>
        </w:rPr>
        <w:t xml:space="preserve">Motion to adjourn at </w:t>
      </w:r>
      <w:r w:rsidR="00963C0E">
        <w:rPr>
          <w:rFonts w:ascii="Arial" w:hAnsi="Arial" w:cs="Arial"/>
          <w:b/>
          <w:u w:val="single"/>
        </w:rPr>
        <w:t>7:01</w:t>
      </w:r>
      <w:r w:rsidR="00B60557">
        <w:rPr>
          <w:rFonts w:ascii="Arial" w:hAnsi="Arial" w:cs="Arial"/>
          <w:b/>
          <w:u w:val="single"/>
        </w:rPr>
        <w:t xml:space="preserve">pm by </w:t>
      </w:r>
      <w:r w:rsidR="00963C0E">
        <w:rPr>
          <w:rFonts w:ascii="Arial" w:hAnsi="Arial" w:cs="Arial"/>
          <w:b/>
          <w:u w:val="single"/>
        </w:rPr>
        <w:t>Lindsay</w:t>
      </w:r>
      <w:r w:rsidR="00B60557">
        <w:rPr>
          <w:rFonts w:ascii="Arial" w:hAnsi="Arial" w:cs="Arial"/>
          <w:b/>
          <w:u w:val="single"/>
        </w:rPr>
        <w:t xml:space="preserve">, seconded by </w:t>
      </w:r>
      <w:r w:rsidR="00963C0E">
        <w:rPr>
          <w:rFonts w:ascii="Arial" w:hAnsi="Arial" w:cs="Arial"/>
          <w:b/>
          <w:u w:val="single"/>
        </w:rPr>
        <w:t>Rick</w:t>
      </w:r>
      <w:r w:rsidR="00B60557">
        <w:rPr>
          <w:rFonts w:ascii="Arial" w:hAnsi="Arial" w:cs="Arial"/>
          <w:b/>
          <w:u w:val="single"/>
        </w:rPr>
        <w:t>. Motion carried 4-0.</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1BAA" w14:textId="77777777" w:rsidR="008047EA" w:rsidRDefault="008047EA" w:rsidP="008F092E">
      <w:r>
        <w:separator/>
      </w:r>
    </w:p>
  </w:endnote>
  <w:endnote w:type="continuationSeparator" w:id="0">
    <w:p w14:paraId="188EF540" w14:textId="77777777" w:rsidR="008047EA" w:rsidRDefault="008047EA"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DE4D" w14:textId="77777777" w:rsidR="008047EA" w:rsidRDefault="008047EA" w:rsidP="008F092E">
      <w:r>
        <w:separator/>
      </w:r>
    </w:p>
  </w:footnote>
  <w:footnote w:type="continuationSeparator" w:id="0">
    <w:p w14:paraId="7DA7A187" w14:textId="77777777" w:rsidR="008047EA" w:rsidRDefault="008047EA"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2B8"/>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092"/>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395"/>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9E"/>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B66"/>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7EA"/>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C0E"/>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557"/>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17A"/>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2DD2"/>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27F44"/>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3D07"/>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3</cp:revision>
  <cp:lastPrinted>2018-06-21T16:40:00Z</cp:lastPrinted>
  <dcterms:created xsi:type="dcterms:W3CDTF">2022-05-06T15:43:00Z</dcterms:created>
  <dcterms:modified xsi:type="dcterms:W3CDTF">2022-05-23T19:52:00Z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